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B81" w:rsidRDefault="00F92F7F">
      <w:pPr>
        <w:pStyle w:val="WHEREAS"/>
        <w:spacing w:before="0" w:line="240" w:lineRule="exact"/>
        <w:ind w:firstLine="0"/>
        <w:jc w:val="center"/>
        <w:rPr>
          <w:rFonts w:ascii="TimesNewRomanPS-BoldMT" w:hAnsi="TimesNewRomanPS-BoldMT"/>
          <w:b/>
        </w:rPr>
      </w:pPr>
      <w:r>
        <w:rPr>
          <w:rFonts w:ascii="Times New Roman" w:hAnsi="Times New Roman"/>
          <w:b/>
          <w:u w:val="single"/>
        </w:rPr>
        <w:t>NOTICE OF FINAL PASSAGE</w:t>
      </w:r>
      <w:bookmarkStart w:id="0" w:name="_GoBack"/>
      <w:bookmarkEnd w:id="0"/>
    </w:p>
    <w:p w:rsidR="00993B81" w:rsidRDefault="00993B81">
      <w:pPr>
        <w:pStyle w:val="WHEREAS"/>
        <w:spacing w:before="0" w:line="240" w:lineRule="exact"/>
        <w:ind w:firstLine="0"/>
        <w:jc w:val="center"/>
        <w:rPr>
          <w:rFonts w:ascii="TimesNewRomanPS-BoldMT" w:hAnsi="TimesNewRomanPS-BoldMT"/>
          <w:b/>
        </w:rPr>
      </w:pPr>
    </w:p>
    <w:p w:rsidR="00993B81" w:rsidRDefault="007735E5">
      <w:pPr>
        <w:pStyle w:val="WHEREAS"/>
        <w:spacing w:before="0" w:line="240" w:lineRule="exact"/>
        <w:ind w:firstLine="0"/>
        <w:jc w:val="center"/>
        <w:rPr>
          <w:rFonts w:ascii="TimesNewRomanPS-BoldMT" w:hAnsi="TimesNewRomanPS-BoldMT"/>
          <w:b/>
        </w:rPr>
      </w:pPr>
      <w:r>
        <w:rPr>
          <w:rFonts w:ascii="Times New Roman" w:hAnsi="Times New Roman"/>
          <w:b/>
          <w:u w:val="single"/>
        </w:rPr>
        <w:t xml:space="preserve">ORDINANCE </w:t>
      </w:r>
      <w:r w:rsidR="00F63CEA">
        <w:rPr>
          <w:rFonts w:ascii="Times New Roman" w:hAnsi="Times New Roman"/>
          <w:b/>
          <w:u w:val="single"/>
        </w:rPr>
        <w:t>2026-12</w:t>
      </w:r>
    </w:p>
    <w:p w:rsidR="00993B81" w:rsidRDefault="00993B81">
      <w:pPr>
        <w:pStyle w:val="WHEREAS"/>
        <w:spacing w:before="0" w:line="240" w:lineRule="exact"/>
        <w:ind w:firstLine="0"/>
        <w:jc w:val="center"/>
        <w:rPr>
          <w:rFonts w:ascii="TimesNewRomanPS-BoldMT" w:hAnsi="TimesNewRomanPS-BoldMT"/>
          <w:b/>
        </w:rPr>
      </w:pPr>
    </w:p>
    <w:p w:rsidR="00993B81" w:rsidRDefault="00993B81">
      <w:pPr>
        <w:pStyle w:val="WHEREAS"/>
        <w:spacing w:before="0" w:line="240" w:lineRule="exact"/>
        <w:ind w:firstLine="0"/>
        <w:jc w:val="center"/>
        <w:rPr>
          <w:rFonts w:ascii="TimesNewRomanPS-BoldMT" w:hAnsi="TimesNewRomanPS-BoldMT"/>
          <w:b/>
        </w:rPr>
      </w:pPr>
    </w:p>
    <w:p w:rsidR="00993B81" w:rsidRDefault="007735E5">
      <w:pPr>
        <w:pStyle w:val="WHEREAS"/>
        <w:spacing w:before="0" w:line="240" w:lineRule="exact"/>
        <w:ind w:firstLine="0"/>
        <w:jc w:val="center"/>
        <w:rPr>
          <w:rFonts w:ascii="TimesNewRomanPS-BoldMT" w:hAnsi="TimesNewRomanPS-BoldMT"/>
          <w:b/>
        </w:rPr>
      </w:pPr>
      <w:r>
        <w:rPr>
          <w:rFonts w:ascii="Times New Roman" w:hAnsi="Times New Roman"/>
          <w:b/>
        </w:rPr>
        <w:t>AN ORDINA</w:t>
      </w:r>
      <w:r>
        <w:rPr>
          <w:rFonts w:ascii="Times New Roman" w:hAnsi="Times New Roman"/>
          <w:b/>
          <w:spacing w:val="1"/>
        </w:rPr>
        <w:t>N</w:t>
      </w:r>
      <w:r>
        <w:rPr>
          <w:rFonts w:ascii="Times New Roman" w:hAnsi="Times New Roman"/>
          <w:b/>
        </w:rPr>
        <w:t>CE</w:t>
      </w:r>
      <w:r>
        <w:rPr>
          <w:rFonts w:ascii="Times New Roman" w:hAnsi="Times New Roman"/>
          <w:b/>
          <w:spacing w:val="-14"/>
        </w:rPr>
        <w:t xml:space="preserve"> </w:t>
      </w:r>
      <w:r>
        <w:rPr>
          <w:rFonts w:ascii="Times New Roman" w:hAnsi="Times New Roman"/>
          <w:b/>
        </w:rPr>
        <w:t>OF THE MAYOR</w:t>
      </w:r>
      <w:r>
        <w:rPr>
          <w:rFonts w:ascii="Times New Roman" w:hAnsi="Times New Roman"/>
          <w:b/>
          <w:spacing w:val="-16"/>
        </w:rPr>
        <w:t xml:space="preserve"> </w:t>
      </w:r>
      <w:r>
        <w:rPr>
          <w:rFonts w:ascii="Times New Roman" w:hAnsi="Times New Roman"/>
          <w:b/>
        </w:rPr>
        <w:t xml:space="preserve">AND BOROUGH COUNCIL OF THE </w:t>
      </w:r>
      <w:r>
        <w:rPr>
          <w:rFonts w:ascii="Times New Roman" w:hAnsi="Times New Roman"/>
          <w:b/>
          <w:spacing w:val="-2"/>
        </w:rPr>
        <w:t>B</w:t>
      </w:r>
      <w:r>
        <w:rPr>
          <w:rFonts w:ascii="Times New Roman" w:hAnsi="Times New Roman"/>
          <w:b/>
        </w:rPr>
        <w:t>OROUGH OF CLEMENTON IN THE COUNTY OF CAMDEN, STATE OF NEW</w:t>
      </w:r>
      <w:r>
        <w:rPr>
          <w:rFonts w:ascii="Times New Roman" w:hAnsi="Times New Roman"/>
          <w:b/>
          <w:spacing w:val="-14"/>
        </w:rPr>
        <w:t xml:space="preserve"> </w:t>
      </w:r>
      <w:r>
        <w:rPr>
          <w:rFonts w:ascii="Times New Roman" w:hAnsi="Times New Roman"/>
          <w:b/>
        </w:rPr>
        <w:t>JERSEY, A</w:t>
      </w:r>
      <w:r>
        <w:rPr>
          <w:rFonts w:ascii="Times New Roman" w:hAnsi="Times New Roman"/>
          <w:b/>
          <w:spacing w:val="-1"/>
        </w:rPr>
        <w:t>M</w:t>
      </w:r>
      <w:r>
        <w:rPr>
          <w:rFonts w:ascii="Times New Roman" w:hAnsi="Times New Roman"/>
          <w:b/>
        </w:rPr>
        <w:t>ENDING AND SUPPL</w:t>
      </w:r>
      <w:r>
        <w:rPr>
          <w:rFonts w:ascii="Times New Roman" w:hAnsi="Times New Roman"/>
          <w:b/>
          <w:spacing w:val="1"/>
        </w:rPr>
        <w:t>E</w:t>
      </w:r>
      <w:r>
        <w:rPr>
          <w:rFonts w:ascii="Times New Roman" w:hAnsi="Times New Roman"/>
          <w:b/>
          <w:spacing w:val="-1"/>
        </w:rPr>
        <w:t>M</w:t>
      </w:r>
      <w:r>
        <w:rPr>
          <w:rFonts w:ascii="Times New Roman" w:hAnsi="Times New Roman"/>
          <w:b/>
        </w:rPr>
        <w:t>ENTING THE</w:t>
      </w:r>
      <w:r>
        <w:rPr>
          <w:rFonts w:ascii="Times New Roman" w:hAnsi="Times New Roman"/>
          <w:b/>
          <w:spacing w:val="-10"/>
        </w:rPr>
        <w:t xml:space="preserve"> </w:t>
      </w:r>
      <w:r>
        <w:rPr>
          <w:rFonts w:ascii="Times New Roman" w:hAnsi="Times New Roman"/>
          <w:b/>
        </w:rPr>
        <w:t>CO</w:t>
      </w:r>
      <w:r>
        <w:rPr>
          <w:rFonts w:ascii="Times New Roman" w:hAnsi="Times New Roman"/>
          <w:b/>
          <w:spacing w:val="-3"/>
        </w:rPr>
        <w:t xml:space="preserve">DE </w:t>
      </w:r>
      <w:r>
        <w:rPr>
          <w:rFonts w:ascii="Times New Roman" w:hAnsi="Times New Roman"/>
          <w:b/>
        </w:rPr>
        <w:t>OF THE BOROUGH OF CLEMENTON TO INCLUDE A</w:t>
      </w:r>
      <w:r>
        <w:rPr>
          <w:rFonts w:ascii="Times New Roman" w:hAnsi="Times New Roman"/>
          <w:b/>
          <w:spacing w:val="-1"/>
        </w:rPr>
        <w:t xml:space="preserve">ND </w:t>
      </w:r>
      <w:r>
        <w:rPr>
          <w:rFonts w:ascii="Times New Roman" w:hAnsi="Times New Roman"/>
          <w:b/>
        </w:rPr>
        <w:t>DESIGNATE DATA CENTERS AS A NO</w:t>
      </w:r>
      <w:r>
        <w:rPr>
          <w:rFonts w:ascii="Times New Roman" w:hAnsi="Times New Roman"/>
          <w:b/>
          <w:spacing w:val="2"/>
        </w:rPr>
        <w:t>N</w:t>
      </w:r>
      <w:r>
        <w:rPr>
          <w:rFonts w:ascii="Times New Roman" w:hAnsi="Times New Roman"/>
          <w:b/>
        </w:rPr>
        <w:t>-PERMITTED USE IN</w:t>
      </w:r>
      <w:r>
        <w:rPr>
          <w:rFonts w:ascii="Times New Roman" w:hAnsi="Times New Roman"/>
          <w:b/>
          <w:spacing w:val="-11"/>
        </w:rPr>
        <w:t xml:space="preserve"> </w:t>
      </w:r>
      <w:r>
        <w:rPr>
          <w:rFonts w:ascii="Times New Roman" w:hAnsi="Times New Roman"/>
          <w:b/>
        </w:rPr>
        <w:t>ALL ZONES WITHIN THE BORO</w:t>
      </w:r>
      <w:r>
        <w:rPr>
          <w:rFonts w:ascii="Times New Roman" w:hAnsi="Times New Roman"/>
          <w:b/>
          <w:spacing w:val="-2"/>
        </w:rPr>
        <w:t>U</w:t>
      </w:r>
      <w:r>
        <w:rPr>
          <w:rFonts w:ascii="Times New Roman" w:hAnsi="Times New Roman"/>
          <w:b/>
        </w:rPr>
        <w:t>GH OF CLEMENTON</w:t>
      </w:r>
    </w:p>
    <w:p w:rsidR="00993B81" w:rsidRDefault="00993B81">
      <w:pPr>
        <w:pStyle w:val="WHEREAS"/>
        <w:spacing w:before="0" w:line="240" w:lineRule="exact"/>
        <w:ind w:firstLine="0"/>
        <w:jc w:val="center"/>
        <w:rPr>
          <w:rFonts w:ascii="TimesNewRomanPS-BoldMT" w:hAnsi="TimesNewRomanPS-BoldMT"/>
          <w:b/>
        </w:rPr>
      </w:pPr>
    </w:p>
    <w:p w:rsidR="00993B81" w:rsidRDefault="00993B81">
      <w:pPr>
        <w:pStyle w:val="WHEREAS"/>
        <w:spacing w:before="0" w:line="240" w:lineRule="exact"/>
        <w:ind w:firstLine="0"/>
        <w:jc w:val="center"/>
        <w:rPr>
          <w:rFonts w:ascii="TimesNewRomanPS-BoldMT" w:hAnsi="TimesNewRomanPS-BoldMT"/>
          <w:b/>
        </w:rPr>
      </w:pP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the Borough of Clementon Master Plan emphasizes protection of the Borough’s character, agricultural lands, scenic landscapes, environmental resources, wildlife habitat, and historic and cultural heritage;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data centers, by nature, present an intense and unique form of land use and development, posing significant challenges related to electricity consumption, noise, air quality, water use, community character and long-term planning objectives;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preliminary data cited by Members of the New Jersey State Legislature has cautioned that large-scale data centers can use as much as 3 to 5 million gallons of water in a single day between liquid cooling and water consumed to generate the energy that powers them; and WHEREAS, this extreme volume of water usage impacts homes and businesses both within the host municipality and the surrounding communities;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preliminary studies noted by the State Legislature also indicate that some data centers require 300 MW of electricity, which is roughly equivalent to the output of a small modular nuclear reactor;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in only the last year the majority of the State has already seen consumer energy costs increase more than twenty percent (20%), with additional increases expected within the next few months;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the high-tech data centers that are proliferating throughout the state consume a large amount of electrical power at a time when energy costs are increasing for ratepayers; and </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it is well established that overdevelopment, urbanization and overuse of environmental resources impacts subterranean aquifers and the quality of drinking and other water resources and poses a substantial strain on community water resources; and</w:t>
      </w:r>
    </w:p>
    <w:p w:rsidR="00993B81" w:rsidRDefault="007735E5">
      <w:pPr>
        <w:pStyle w:val="WHEREAS"/>
        <w:rPr>
          <w:rFonts w:ascii="ArialMT" w:hAnsi="ArialMT"/>
          <w:sz w:val="2"/>
        </w:rPr>
      </w:pPr>
      <w:r>
        <w:rPr>
          <w:rFonts w:ascii="Times New Roman" w:hAnsi="Times New Roman"/>
          <w:b/>
        </w:rPr>
        <w:lastRenderedPageBreak/>
        <w:t>WHEREAS,</w:t>
      </w:r>
      <w:r>
        <w:rPr>
          <w:rFonts w:ascii="Times New Roman" w:hAnsi="Times New Roman"/>
        </w:rPr>
        <w:t xml:space="preserve"> the Governing Body is conscious of the hazards, such as depletion of critical groundwater resources, and the impact on the environmental and natural resources posed by the scope, depth and pervasiveness of large-scale commercial data center operations;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municipal regulations designed for the preservation of the environment and the protection of ecological values are a well-recognized, legitimate and proper exercise of municipality authority;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cutting and removal of trees has been found to cause and create increased soil erosion and dust, instability and deterioration in the value of surrounding property and other adverse environmental and geographical conditions;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dramatic increases and changes in population, development and the impact of certain data center operations on residents, businesses, the environment, and private and public property have imposed significant burdens on municipal resources and have created increased need to balance the rights and interests of the residents and general public with that of the legitimate rights of property owners to conduct business without unreasonable regulation;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in light of these significant changes in confluence with modern advancement in technology, scientific and environmental research that have allowed for a more accurate and comprehensive understanding of the hazards and dangers posed to surrounding property, environmental and natural resources, the general public, and the proliferation and expansion of governmental regulation of the environment, safety and business in general, that have occurred since the enactment of the municipalities zoning and development regulations, the Mayor and Council have determined it necessary and appropriate to amend and update its ordinances to adequately address data center uses in a manner that best reflects present needs and realities; and</w:t>
      </w:r>
    </w:p>
    <w:p w:rsidR="00993B81" w:rsidRDefault="007735E5">
      <w:pPr>
        <w:pStyle w:val="WHEREAS"/>
        <w:rPr>
          <w:rFonts w:ascii="Times New Roman" w:hAnsi="Times New Roman"/>
        </w:rPr>
      </w:pPr>
      <w:r>
        <w:rPr>
          <w:rFonts w:ascii="Times New Roman" w:hAnsi="Times New Roman"/>
          <w:b/>
        </w:rPr>
        <w:t>WHEREAS,</w:t>
      </w:r>
      <w:r>
        <w:rPr>
          <w:rFonts w:ascii="Times New Roman" w:hAnsi="Times New Roman"/>
        </w:rPr>
        <w:t xml:space="preserve"> the Mayor and Council of the Borough of Clementon have determined that it is at this time necessary and appropriate, and in the best interest of the health, safety and welfare of its residents and members of the public who visit, travel or conduct business in the Borough, to amend the Borough Code to include all manner of data centers land use and development as a non-permitted use within the geographic boundaries of the Borough and to otherwise improve and strengthen the nature, scope, manner and effectiveness of such regulations;</w:t>
      </w:r>
    </w:p>
    <w:p w:rsidR="00993B81" w:rsidRDefault="007735E5">
      <w:pPr>
        <w:pStyle w:val="WHEREAS"/>
        <w:rPr>
          <w:rFonts w:ascii="Times New Roman" w:hAnsi="Times New Roman"/>
        </w:rPr>
      </w:pPr>
      <w:r>
        <w:rPr>
          <w:rFonts w:ascii="Times New Roman" w:hAnsi="Times New Roman"/>
          <w:b/>
        </w:rPr>
        <w:t>NOW, THEREFORE, BE IT ORDAINED</w:t>
      </w:r>
      <w:r>
        <w:rPr>
          <w:rFonts w:ascii="Times New Roman" w:hAnsi="Times New Roman"/>
        </w:rPr>
        <w:t xml:space="preserve"> by the Mayor and Borough Council of the Borough of Clementon, in the County of Camden, State of New Jersey as follows:</w:t>
      </w:r>
    </w:p>
    <w:p w:rsidR="00993B81" w:rsidRDefault="007735E5">
      <w:pPr>
        <w:pStyle w:val="NOIndent"/>
        <w:rPr>
          <w:rFonts w:ascii="Times New Roman" w:hAnsi="Times New Roman"/>
        </w:rPr>
      </w:pPr>
      <w:r>
        <w:rPr>
          <w:rFonts w:ascii="Times New Roman" w:hAnsi="Times New Roman"/>
          <w:b/>
          <w:bCs/>
        </w:rPr>
        <w:t>Section 1.</w:t>
      </w:r>
      <w:r>
        <w:rPr>
          <w:rFonts w:ascii="Times New Roman" w:hAnsi="Times New Roman"/>
        </w:rPr>
        <w:t xml:space="preserve"> Chapter 298, “Zoning”, Article III, “Definitions”, § 298-3, “Word usage; terms defined.” of the Code of the Borough of Clementon is hereby amended and supplemented to add a new section/subsection as follows:</w:t>
      </w:r>
    </w:p>
    <w:p w:rsidR="00993B81" w:rsidRDefault="007735E5">
      <w:pPr>
        <w:pStyle w:val="FullIndent"/>
        <w:rPr>
          <w:rFonts w:ascii="ArialMT" w:hAnsi="ArialMT"/>
          <w:sz w:val="2"/>
        </w:rPr>
      </w:pPr>
      <w:r>
        <w:rPr>
          <w:rFonts w:ascii="Times New Roman" w:hAnsi="Times New Roman"/>
          <w:b/>
        </w:rPr>
        <w:lastRenderedPageBreak/>
        <w:t>DATA CENTER</w:t>
      </w:r>
      <w:r>
        <w:rPr>
          <w:rFonts w:ascii="Times New Roman" w:hAnsi="Times New Roman"/>
        </w:rPr>
        <w:t xml:space="preserve"> shall mean and include any facility used primarily for the storage, management, and processing of digital or electronic data, which houses computer and network systems, including associated components such as servers, network equipment and appliances, telecommunications, and data storage systems, systems for monitoring and managing infrastructure performance, Internet-related equipment and services, data communications connections, environmental controls, fire protection systems, and security systems and services. Typical accessory components of a data center may include transformers, electrical substations, environmental controls, fire suppression, generators, redundant power supplies and security facilities.</w:t>
      </w:r>
    </w:p>
    <w:p w:rsidR="00993B81" w:rsidRDefault="007735E5">
      <w:pPr>
        <w:pStyle w:val="NOIndent"/>
        <w:rPr>
          <w:rFonts w:ascii="Times New Roman" w:hAnsi="Times New Roman"/>
        </w:rPr>
      </w:pPr>
      <w:r>
        <w:rPr>
          <w:rFonts w:ascii="Times New Roman" w:hAnsi="Times New Roman"/>
          <w:b/>
        </w:rPr>
        <w:t>Section 2.</w:t>
      </w:r>
      <w:r>
        <w:rPr>
          <w:rFonts w:ascii="Times New Roman" w:hAnsi="Times New Roman"/>
        </w:rPr>
        <w:t xml:space="preserve"> Chapter 298, “Zoning”, Article XVII, “General Provisions”, § 298-60, “Prohibited uses” of the Code of the Borough of Clementon is hereby amended and supplemented to add a new section/</w:t>
      </w:r>
      <w:proofErr w:type="gramStart"/>
      <w:r>
        <w:rPr>
          <w:rFonts w:ascii="Times New Roman" w:hAnsi="Times New Roman"/>
        </w:rPr>
        <w:t>subsection ,</w:t>
      </w:r>
      <w:proofErr w:type="gramEnd"/>
      <w:r>
        <w:rPr>
          <w:rFonts w:ascii="Times New Roman" w:hAnsi="Times New Roman"/>
        </w:rPr>
        <w:t xml:space="preserve"> “Data Center” as follows/ the following as a non-permitted use:</w:t>
      </w:r>
    </w:p>
    <w:p w:rsidR="00993B81" w:rsidRDefault="007735E5">
      <w:pPr>
        <w:pStyle w:val="FullIndent"/>
        <w:rPr>
          <w:rFonts w:ascii="Times New Roman" w:hAnsi="Times New Roman"/>
        </w:rPr>
      </w:pPr>
      <w:r>
        <w:rPr>
          <w:rFonts w:ascii="Times New Roman" w:hAnsi="Times New Roman"/>
        </w:rPr>
        <w:t>[X] All Data Centers as defined in Chapter 298, § 298-3, of the Code of the Borough of Clementon and any and all uses related to the same.</w:t>
      </w:r>
    </w:p>
    <w:p w:rsidR="00993B81" w:rsidRDefault="007735E5">
      <w:pPr>
        <w:pStyle w:val="NOIndent"/>
        <w:rPr>
          <w:rFonts w:ascii="Times New Roman" w:hAnsi="Times New Roman"/>
        </w:rPr>
      </w:pPr>
      <w:r>
        <w:rPr>
          <w:rFonts w:ascii="Times New Roman" w:hAnsi="Times New Roman"/>
          <w:b/>
        </w:rPr>
        <w:t>Section 3.</w:t>
      </w:r>
      <w:r>
        <w:rPr>
          <w:rFonts w:ascii="Times New Roman" w:hAnsi="Times New Roman"/>
        </w:rPr>
        <w:t xml:space="preserve"> The Municipal Clerk is directed to give notice at least ten (10) days prior to a hearing on the adoption of this Ordinance to the Camden County Planning Board and to all other persons or entities entitled thereto pursuant to N.J.S.A. 40:55D-15, including to the Clerk of adjoining municipalities.</w:t>
      </w:r>
    </w:p>
    <w:p w:rsidR="00993B81" w:rsidRDefault="007735E5">
      <w:pPr>
        <w:pStyle w:val="NOIndent"/>
        <w:rPr>
          <w:rFonts w:ascii="Times New Roman" w:hAnsi="Times New Roman"/>
        </w:rPr>
      </w:pPr>
      <w:r>
        <w:rPr>
          <w:rFonts w:ascii="Times New Roman" w:hAnsi="Times New Roman"/>
          <w:b/>
        </w:rPr>
        <w:t>Section 4.</w:t>
      </w:r>
      <w:r>
        <w:rPr>
          <w:rFonts w:ascii="Times New Roman" w:hAnsi="Times New Roman"/>
        </w:rPr>
        <w:t xml:space="preserve"> After introduction, the Municipal Clerk is hereby directed to submit a copy of the within Ordinance to the Joint Land Use Board of the Borough of Clementon for its review in accordance with N.J.S.A. 40:55D-26 and N.J.S.A. 40:55D-64. The Joint Land Use Board is directed to make and transmit to the Borough Council, within thirty-five (35) days after referral, a report including identification of any provisions in the proposed Ordinance which are inconsistent with the Master Plan and recommendations concerning any inconsistencies and any other matter as the Board deems appropriate. Upon the adoption of this Ordinance, after public hearing, the Municipal Clerk is further directed to publish notice of the passage and to file a copy of this Ordinance, as finally adopted, with the Camden County Planning Board, as required by N.J.S.A. 40:55D-16.</w:t>
      </w:r>
    </w:p>
    <w:p w:rsidR="00993B81" w:rsidRDefault="007735E5">
      <w:pPr>
        <w:pStyle w:val="NOIndent"/>
        <w:rPr>
          <w:rFonts w:ascii="Times New Roman" w:hAnsi="Times New Roman"/>
        </w:rPr>
      </w:pPr>
      <w:r>
        <w:rPr>
          <w:rFonts w:ascii="Times New Roman" w:hAnsi="Times New Roman"/>
          <w:b/>
        </w:rPr>
        <w:t>Section 5.</w:t>
      </w:r>
      <w:r>
        <w:rPr>
          <w:rFonts w:ascii="Times New Roman" w:hAnsi="Times New Roman"/>
        </w:rPr>
        <w:t xml:space="preserve"> </w:t>
      </w:r>
      <w:proofErr w:type="spellStart"/>
      <w:r>
        <w:rPr>
          <w:rFonts w:ascii="Times New Roman" w:hAnsi="Times New Roman"/>
        </w:rPr>
        <w:t>Repealer</w:t>
      </w:r>
      <w:proofErr w:type="spellEnd"/>
      <w:r>
        <w:rPr>
          <w:rFonts w:ascii="Times New Roman" w:hAnsi="Times New Roman"/>
        </w:rPr>
        <w:t>. All ordinances or parts of ordinances contrary to or inconsistent with the provisions of this Ordinance are hereby repealed to the extent of such conflict or inconsistency.</w:t>
      </w:r>
    </w:p>
    <w:p w:rsidR="00993B81" w:rsidRDefault="007735E5">
      <w:pPr>
        <w:pStyle w:val="NOIndent"/>
        <w:rPr>
          <w:rFonts w:ascii="Times New Roman" w:hAnsi="Times New Roman"/>
        </w:rPr>
      </w:pPr>
      <w:r>
        <w:rPr>
          <w:rFonts w:ascii="Times New Roman" w:hAnsi="Times New Roman"/>
          <w:b/>
          <w:bCs/>
        </w:rPr>
        <w:t>Section 6.</w:t>
      </w:r>
      <w:r>
        <w:rPr>
          <w:rFonts w:ascii="Times New Roman" w:hAnsi="Times New Roman"/>
        </w:rPr>
        <w:t xml:space="preserve"> Severability. Each section, subsection, paragraph, sentence, clause and phrase of this Ordinance is declared to be an independent section, subsection, sentence, clause and phrase. If any portion of this Ordinance, or its application to any person or circumstances, shall be adjudged or otherwise determined to be invalid, unconstitutional, preempted, void, or ineffective for any clause or reason, such determination shall not affect the remaining provisions of this Ordinance, and the application of such remaining provisions shall not be affected thereby and shall remain in full force and effect, and to this end, the provisions of this Ordinance are severable.</w:t>
      </w:r>
    </w:p>
    <w:p w:rsidR="00993B81" w:rsidRDefault="007735E5">
      <w:pPr>
        <w:pStyle w:val="NOIndent"/>
        <w:rPr>
          <w:rFonts w:ascii="Times New Roman" w:hAnsi="Times New Roman"/>
        </w:rPr>
      </w:pPr>
      <w:r>
        <w:rPr>
          <w:rFonts w:ascii="Times New Roman" w:hAnsi="Times New Roman"/>
          <w:b/>
        </w:rPr>
        <w:t>Section 7.</w:t>
      </w:r>
      <w:r>
        <w:rPr>
          <w:rFonts w:ascii="Times New Roman" w:hAnsi="Times New Roman"/>
        </w:rPr>
        <w:t xml:space="preserve"> Effective Date. This Ordinance shall take effect immediately upon final passage and publication according to law.</w:t>
      </w:r>
    </w:p>
    <w:p w:rsidR="00993B81" w:rsidRDefault="007735E5">
      <w:pPr>
        <w:pStyle w:val="NOIndent"/>
        <w:rPr>
          <w:rFonts w:ascii="ArialMT" w:hAnsi="ArialMT"/>
          <w:sz w:val="2"/>
        </w:rPr>
      </w:pPr>
      <w:r>
        <w:rPr>
          <w:rFonts w:ascii="Times New Roman" w:hAnsi="Times New Roman"/>
          <w:b/>
        </w:rPr>
        <w:lastRenderedPageBreak/>
        <w:t>Section 8.</w:t>
      </w:r>
      <w:r>
        <w:rPr>
          <w:rFonts w:ascii="Times New Roman" w:hAnsi="Times New Roman"/>
        </w:rPr>
        <w:t xml:space="preserve"> Prior actions. All actions of the Borough of Clementon taken prior to the date of adoption hereof contemplated by this Ordinance are hereby ratified and approved.</w:t>
      </w:r>
    </w:p>
    <w:p w:rsidR="00993B81" w:rsidRDefault="007735E5">
      <w:pPr>
        <w:pStyle w:val="NOIndent"/>
        <w:rPr>
          <w:rFonts w:ascii="ArialMT" w:hAnsi="ArialMT"/>
          <w:sz w:val="2"/>
        </w:rPr>
      </w:pPr>
      <w:r>
        <w:rPr>
          <w:rFonts w:ascii="Times New Roman" w:hAnsi="Times New Roman"/>
          <w:b/>
        </w:rPr>
        <w:t>Section 9.</w:t>
      </w:r>
      <w:r>
        <w:rPr>
          <w:rFonts w:ascii="Times New Roman" w:hAnsi="Times New Roman"/>
        </w:rPr>
        <w:t xml:space="preserve"> Codification. This Ordinance may be renumbered for codification purposes. </w:t>
      </w:r>
    </w:p>
    <w:p w:rsidR="00F92F7F" w:rsidRDefault="00F92F7F">
      <w:pPr>
        <w:spacing w:line="260" w:lineRule="exact"/>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Pr="00F92F7F" w:rsidRDefault="00F92F7F" w:rsidP="00F92F7F">
      <w:pPr>
        <w:rPr>
          <w:rFonts w:ascii="ArialMT" w:hAnsi="ArialMT"/>
          <w:sz w:val="2"/>
        </w:rPr>
      </w:pPr>
    </w:p>
    <w:p w:rsidR="00F92F7F" w:rsidRDefault="00F92F7F" w:rsidP="00F92F7F">
      <w:pPr>
        <w:rPr>
          <w:rFonts w:ascii="Cambria" w:hAnsi="Cambria"/>
          <w:color w:val="000000"/>
          <w:sz w:val="20"/>
        </w:rPr>
      </w:pPr>
      <w:r>
        <w:rPr>
          <w:rFonts w:ascii="Cambria" w:hAnsi="Cambria"/>
          <w:color w:val="000000"/>
          <w:sz w:val="20"/>
        </w:rPr>
        <w:t>Notice is hereby given that Ordinance 2026-1</w:t>
      </w:r>
      <w:r>
        <w:rPr>
          <w:rFonts w:ascii="Cambria" w:hAnsi="Cambria"/>
          <w:color w:val="000000"/>
          <w:sz w:val="20"/>
        </w:rPr>
        <w:t>2</w:t>
      </w:r>
      <w:r>
        <w:rPr>
          <w:rFonts w:ascii="Cambria" w:hAnsi="Cambria"/>
          <w:color w:val="000000"/>
          <w:sz w:val="20"/>
        </w:rPr>
        <w:t xml:space="preserve"> was introduced and passed on first reading at a Meeting of the Borough Council of the Borough of Clementon, County of Camden, State of New Jersey, held on June 16, 2026 and adopted following public hearing as prescribed by law at a meeting held on July 21, 2026.</w:t>
      </w:r>
    </w:p>
    <w:p w:rsidR="00F92F7F" w:rsidRDefault="00F92F7F" w:rsidP="00F92F7F">
      <w:pPr>
        <w:rPr>
          <w:rFonts w:ascii="Cambria" w:hAnsi="Cambria"/>
          <w:color w:val="000000"/>
          <w:sz w:val="20"/>
        </w:rPr>
      </w:pPr>
      <w:r>
        <w:rPr>
          <w:rFonts w:ascii="Cambria" w:hAnsi="Cambria"/>
          <w:color w:val="000000"/>
          <w:sz w:val="20"/>
        </w:rPr>
        <w:t>Jenai Johnson</w:t>
      </w:r>
    </w:p>
    <w:p w:rsidR="00F92F7F" w:rsidRDefault="00F92F7F" w:rsidP="00F92F7F">
      <w:pPr>
        <w:rPr>
          <w:rFonts w:ascii="Cambria" w:hAnsi="Cambria"/>
          <w:color w:val="000000"/>
          <w:sz w:val="20"/>
          <w:szCs w:val="22"/>
        </w:rPr>
      </w:pPr>
      <w:r>
        <w:rPr>
          <w:rFonts w:ascii="Cambria" w:hAnsi="Cambria"/>
          <w:color w:val="000000"/>
          <w:sz w:val="20"/>
        </w:rPr>
        <w:t>Municipal Clerk/Administrator</w:t>
      </w:r>
    </w:p>
    <w:p w:rsidR="00993B81" w:rsidRPr="00F92F7F" w:rsidRDefault="00993B81" w:rsidP="00F92F7F">
      <w:pPr>
        <w:rPr>
          <w:rFonts w:ascii="ArialMT" w:hAnsi="ArialMT"/>
          <w:sz w:val="2"/>
        </w:rPr>
      </w:pPr>
    </w:p>
    <w:sectPr w:rsidR="00993B81" w:rsidRPr="00F92F7F">
      <w:footerReference w:type="default" r:id="rId6"/>
      <w:pgSz w:w="12240" w:h="15840"/>
      <w:pgMar w:top="1134" w:right="1134" w:bottom="2837" w:left="1134" w:header="0" w:footer="2232"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8F4" w:rsidRDefault="005318F4">
      <w:r>
        <w:separator/>
      </w:r>
    </w:p>
  </w:endnote>
  <w:endnote w:type="continuationSeparator" w:id="0">
    <w:p w:rsidR="005318F4" w:rsidRDefault="0053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1"/>
    <w:family w:val="roman"/>
    <w:pitch w:val="variable"/>
  </w:font>
  <w:font w:name="Songti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TimesNewRomanPSMT">
    <w:altName w:val="Times New Roman"/>
    <w:charset w:val="01"/>
    <w:family w:val="roman"/>
    <w:pitch w:val="variable"/>
  </w:font>
  <w:font w:name="TimesNewRomanPS-BoldMT">
    <w:altName w:val="Times New Roman"/>
    <w:charset w:val="01"/>
    <w:family w:val="roman"/>
    <w:pitch w:val="variable"/>
  </w:font>
  <w:font w:name="ArialMT">
    <w:altName w:val="Arial"/>
    <w:charset w:val="01"/>
    <w:family w:val="roman"/>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PageNumWizard_FOOTER_Default_Page_Style1"/>
  <w:p w:rsidR="00993B81" w:rsidRDefault="007735E5">
    <w:pPr>
      <w:pStyle w:val="Footer"/>
      <w:jc w:val="center"/>
    </w:pPr>
    <w:r>
      <w:fldChar w:fldCharType="begin"/>
    </w:r>
    <w:r>
      <w:instrText xml:space="preserve"> PAGE </w:instrText>
    </w:r>
    <w:r>
      <w:fldChar w:fldCharType="separate"/>
    </w:r>
    <w:r>
      <w:t>4</w:t>
    </w:r>
    <w: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8F4" w:rsidRDefault="005318F4">
      <w:r>
        <w:separator/>
      </w:r>
    </w:p>
  </w:footnote>
  <w:footnote w:type="continuationSeparator" w:id="0">
    <w:p w:rsidR="005318F4" w:rsidRDefault="00531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93B81"/>
    <w:rsid w:val="005318F4"/>
    <w:rsid w:val="007735E5"/>
    <w:rsid w:val="00993B81"/>
    <w:rsid w:val="00F63CEA"/>
    <w:rsid w:val="00F92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D739E"/>
  <w15:docId w15:val="{815BB178-44AC-4089-B3AE-5C546D11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2"/>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qFormat/>
  </w:style>
  <w:style w:type="character" w:styleId="FootnoteReference">
    <w:name w:val="footnote reference"/>
    <w:rPr>
      <w:vertAlign w:val="superscript"/>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Arial Unicode M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WHEREAS">
    <w:name w:val="WHEREAS"/>
    <w:qFormat/>
    <w:pPr>
      <w:keepNext/>
      <w:keepLines/>
      <w:widowControl w:val="0"/>
      <w:spacing w:before="312" w:line="260" w:lineRule="exact"/>
      <w:ind w:firstLine="720"/>
      <w:jc w:val="both"/>
    </w:pPr>
    <w:rPr>
      <w:rFonts w:ascii="TimesNewRomanPSMT" w:eastAsia="TimesNewRomanPSMT" w:hAnsi="TimesNewRomanPSMT"/>
      <w:color w:val="000000"/>
      <w:kern w:val="0"/>
    </w:rPr>
  </w:style>
  <w:style w:type="paragraph" w:customStyle="1" w:styleId="NOIndent">
    <w:name w:val="NO Indent"/>
    <w:qFormat/>
    <w:pPr>
      <w:keepNext/>
      <w:keepLines/>
      <w:widowControl w:val="0"/>
      <w:spacing w:before="312" w:line="260" w:lineRule="exact"/>
      <w:jc w:val="both"/>
    </w:pPr>
    <w:rPr>
      <w:rFonts w:ascii="TimesNewRomanPSMT" w:eastAsia="TimesNewRomanPSMT" w:hAnsi="TimesNewRomanPSMT"/>
      <w:color w:val="000000"/>
      <w:kern w:val="0"/>
    </w:rPr>
  </w:style>
  <w:style w:type="paragraph" w:customStyle="1" w:styleId="FullIndent">
    <w:name w:val="Full Indent"/>
    <w:qFormat/>
    <w:pPr>
      <w:keepNext/>
      <w:keepLines/>
      <w:widowControl w:val="0"/>
      <w:spacing w:before="312" w:line="260" w:lineRule="exact"/>
      <w:ind w:left="720"/>
      <w:jc w:val="both"/>
    </w:pPr>
    <w:rPr>
      <w:rFonts w:ascii="TimesNewRomanPSMT" w:eastAsia="TimesNewRomanPSMT" w:hAnsi="TimesNewRomanPSMT"/>
      <w:color w:val="000000"/>
      <w:kern w:val="0"/>
    </w:rPr>
  </w:style>
  <w:style w:type="paragraph" w:styleId="FootnoteText">
    <w:name w:val="footnote text"/>
    <w:basedOn w:val="Normal"/>
    <w:pPr>
      <w:suppressLineNumbers/>
      <w:ind w:left="340" w:hanging="340"/>
    </w:pPr>
    <w:rPr>
      <w:sz w:val="20"/>
      <w:szCs w:val="20"/>
    </w:rPr>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459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Jenai Johnson</dc:creator>
  <dc:description/>
  <cp:lastModifiedBy>Jenai Johnson</cp:lastModifiedBy>
  <cp:revision>2</cp:revision>
  <dcterms:created xsi:type="dcterms:W3CDTF">2026-08-10T18:31:00Z</dcterms:created>
  <dcterms:modified xsi:type="dcterms:W3CDTF">2026-08-10T18:31:00Z</dcterms:modified>
  <dc:language>en-US</dc:language>
</cp:coreProperties>
</file>